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2" w:rsidRPr="00FA4199" w:rsidRDefault="005304B2" w:rsidP="005304B2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196ADD" w:rsidRPr="00FA4199" w:rsidRDefault="00196ADD">
      <w:pPr>
        <w:rPr>
          <w:rFonts w:asciiTheme="majorHAnsi" w:hAnsiTheme="majorHAnsi"/>
          <w:sz w:val="20"/>
          <w:szCs w:val="20"/>
        </w:rPr>
      </w:pPr>
    </w:p>
    <w:p w:rsidR="00690B52" w:rsidRPr="00FA4199" w:rsidRDefault="00690B52" w:rsidP="00DE1F0E">
      <w:pPr>
        <w:spacing w:line="480" w:lineRule="auto"/>
        <w:jc w:val="right"/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</w:pPr>
      <w:r w:rsidRPr="00FA4199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 xml:space="preserve">Załącznik nr </w:t>
      </w:r>
      <w:r w:rsidR="00323EFD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>5</w:t>
      </w:r>
      <w:r w:rsidRPr="00FA4199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 xml:space="preserve"> do SIWZ</w:t>
      </w:r>
    </w:p>
    <w:p w:rsidR="00DE1F0E" w:rsidRPr="00FA4199" w:rsidRDefault="00323EFD" w:rsidP="00DE1F0E">
      <w:pPr>
        <w:rPr>
          <w:rFonts w:asciiTheme="majorHAnsi" w:eastAsia="Times New Roman" w:hAnsiTheme="majorHAnsi" w:cs="Arial"/>
          <w:b/>
          <w:spacing w:val="4"/>
          <w:sz w:val="20"/>
          <w:szCs w:val="20"/>
        </w:rPr>
      </w:pPr>
      <w:r>
        <w:rPr>
          <w:rFonts w:asciiTheme="majorHAnsi" w:eastAsia="Times New Roman" w:hAnsiTheme="majorHAnsi" w:cs="Arial"/>
          <w:b/>
          <w:spacing w:val="4"/>
          <w:sz w:val="20"/>
          <w:szCs w:val="20"/>
        </w:rPr>
        <w:t>DO.2800.1.2017</w:t>
      </w:r>
    </w:p>
    <w:p w:rsidR="00DE1F0E" w:rsidRPr="00FA4199" w:rsidRDefault="00DE1F0E" w:rsidP="00DE1F0E">
      <w:pPr>
        <w:rPr>
          <w:rFonts w:asciiTheme="majorHAnsi" w:eastAsia="Times New Roman" w:hAnsiTheme="majorHAnsi" w:cs="Arial"/>
          <w:b/>
          <w:spacing w:val="4"/>
          <w:sz w:val="20"/>
          <w:szCs w:val="20"/>
        </w:rPr>
      </w:pPr>
    </w:p>
    <w:p w:rsidR="00323EFD" w:rsidRPr="00323EFD" w:rsidRDefault="00FA4199" w:rsidP="00323EFD">
      <w:pPr>
        <w:tabs>
          <w:tab w:val="center" w:pos="4536"/>
          <w:tab w:val="right" w:pos="9072"/>
        </w:tabs>
        <w:suppressAutoHyphens/>
        <w:ind w:right="-1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FA4199">
        <w:rPr>
          <w:rFonts w:asciiTheme="majorHAnsi" w:eastAsia="Times New Roman" w:hAnsiTheme="majorHAnsi" w:cs="Arial"/>
          <w:b/>
          <w:spacing w:val="4"/>
          <w:sz w:val="20"/>
          <w:szCs w:val="20"/>
        </w:rPr>
        <w:t>Dotyczy:</w:t>
      </w:r>
      <w:r w:rsidRPr="00FA4199">
        <w:rPr>
          <w:rFonts w:asciiTheme="majorHAnsi" w:eastAsia="Times New Roman" w:hAnsiTheme="majorHAnsi" w:cs="Arial"/>
          <w:b/>
          <w:spacing w:val="4"/>
          <w:sz w:val="20"/>
          <w:szCs w:val="20"/>
        </w:rPr>
        <w:tab/>
      </w:r>
      <w:r w:rsidR="00A2679C">
        <w:rPr>
          <w:rFonts w:asciiTheme="majorHAnsi" w:eastAsia="Times New Roman" w:hAnsiTheme="majorHAnsi" w:cs="Arial"/>
          <w:b/>
          <w:spacing w:val="4"/>
          <w:sz w:val="20"/>
          <w:szCs w:val="20"/>
        </w:rPr>
        <w:t xml:space="preserve"> </w:t>
      </w:r>
      <w:r w:rsidR="00323EFD">
        <w:rPr>
          <w:rFonts w:asciiTheme="majorHAnsi" w:eastAsia="Times New Roman" w:hAnsiTheme="majorHAnsi" w:cs="Arial"/>
          <w:spacing w:val="4"/>
          <w:sz w:val="20"/>
          <w:szCs w:val="20"/>
        </w:rPr>
        <w:t>p</w:t>
      </w:r>
      <w:r w:rsidR="00DE1F0E" w:rsidRPr="00A2679C">
        <w:rPr>
          <w:rFonts w:asciiTheme="majorHAnsi" w:eastAsia="Times New Roman" w:hAnsiTheme="majorHAnsi" w:cs="Arial"/>
          <w:spacing w:val="4"/>
          <w:sz w:val="20"/>
          <w:szCs w:val="20"/>
        </w:rPr>
        <w:t xml:space="preserve">rzetargu nieograniczonego </w:t>
      </w:r>
      <w:r w:rsidR="00323EFD" w:rsidRPr="00323EFD">
        <w:rPr>
          <w:rFonts w:asciiTheme="majorHAnsi" w:hAnsiTheme="majorHAnsi"/>
          <w:sz w:val="20"/>
          <w:szCs w:val="20"/>
        </w:rPr>
        <w:t xml:space="preserve">w dwóch częściach, </w:t>
      </w:r>
      <w:r w:rsidR="00323EFD" w:rsidRPr="00323EFD">
        <w:rPr>
          <w:rFonts w:asciiTheme="majorHAnsi" w:hAnsiTheme="majorHAnsi" w:cs="Helvetica"/>
          <w:bCs/>
          <w:sz w:val="20"/>
          <w:szCs w:val="20"/>
        </w:rPr>
        <w:t xml:space="preserve">o wartości </w:t>
      </w:r>
      <w:r w:rsidR="00323EFD" w:rsidRPr="00323EFD">
        <w:rPr>
          <w:rFonts w:asciiTheme="majorHAnsi" w:hAnsiTheme="majorHAnsi"/>
          <w:sz w:val="20"/>
          <w:szCs w:val="20"/>
        </w:rPr>
        <w:t xml:space="preserve">poniżej 209 000 euro </w:t>
      </w:r>
      <w:r w:rsidR="00323EFD" w:rsidRPr="00323EFD">
        <w:rPr>
          <w:rFonts w:asciiTheme="majorHAnsi" w:hAnsiTheme="majorHAnsi" w:cs="Arial"/>
          <w:sz w:val="20"/>
          <w:szCs w:val="20"/>
        </w:rPr>
        <w:t xml:space="preserve">na usługę </w:t>
      </w:r>
      <w:r w:rsidR="00323EFD" w:rsidRPr="00323EFD">
        <w:rPr>
          <w:rFonts w:asciiTheme="majorHAnsi" w:hAnsiTheme="majorHAnsi"/>
          <w:sz w:val="20"/>
          <w:szCs w:val="20"/>
        </w:rPr>
        <w:t>obsługi technicznej wentylacji, klimatyzacji, ogrzewania i automatyki w obiektach PPNT Gdynia</w:t>
      </w:r>
      <w:r w:rsidR="00323EFD">
        <w:rPr>
          <w:rFonts w:asciiTheme="majorHAnsi" w:hAnsiTheme="majorHAnsi"/>
          <w:sz w:val="20"/>
          <w:szCs w:val="20"/>
        </w:rPr>
        <w:t>.</w:t>
      </w:r>
    </w:p>
    <w:p w:rsidR="00DE1F0E" w:rsidRPr="00FA4199" w:rsidRDefault="00DE1F0E" w:rsidP="00DE1F0E">
      <w:pPr>
        <w:jc w:val="center"/>
        <w:rPr>
          <w:rFonts w:asciiTheme="majorHAnsi" w:eastAsia="Times New Roman" w:hAnsiTheme="majorHAnsi" w:cs="Arial"/>
          <w:spacing w:val="4"/>
          <w:sz w:val="20"/>
          <w:szCs w:val="20"/>
        </w:rPr>
      </w:pPr>
    </w:p>
    <w:p w:rsidR="00DD2C3E" w:rsidRPr="00FA4199" w:rsidRDefault="00DD2C3E" w:rsidP="00DD2C3E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>Wykaz usług</w:t>
      </w:r>
    </w:p>
    <w:p w:rsidR="00DD2C3E" w:rsidRPr="00FA4199" w:rsidRDefault="00DD2C3E" w:rsidP="00DD2C3E">
      <w:pPr>
        <w:tabs>
          <w:tab w:val="num" w:pos="2520"/>
        </w:tabs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 xml:space="preserve">wykonanych a w przypadku świadczeń okresowych lub ciągłych również wykonywanych w okresie ostatnich trzech lat przed upływem terminu składania ofert, a jeżeli okres prowadzenia działalności jest krótszy – </w:t>
      </w:r>
      <w:r w:rsidR="00323EFD">
        <w:rPr>
          <w:rFonts w:asciiTheme="majorHAnsi" w:eastAsia="Times New Roman" w:hAnsiTheme="majorHAnsi" w:cs="Times New Roman"/>
          <w:b/>
          <w:sz w:val="20"/>
          <w:szCs w:val="20"/>
        </w:rPr>
        <w:br/>
      </w: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>w tym okresie, wraz z podaniem ich wartości, przedmiotu, dat wykonania i podmiotów, na rzecz których usługi zostały wykonane, wraz z załączeniem dowodów, że usługi te zostały wykonane lub wykonywane są należycie.</w:t>
      </w:r>
    </w:p>
    <w:p w:rsidR="00DD2C3E" w:rsidRPr="00FA4199" w:rsidRDefault="00DD2C3E" w:rsidP="00DD2C3E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Times New Roman"/>
          <w:sz w:val="20"/>
          <w:szCs w:val="20"/>
          <w:u w:val="single"/>
        </w:rPr>
      </w:pPr>
    </w:p>
    <w:p w:rsidR="00DD2C3E" w:rsidRPr="00FA4199" w:rsidRDefault="00DD2C3E" w:rsidP="00DD2C3E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FA4199">
        <w:rPr>
          <w:rFonts w:asciiTheme="majorHAnsi" w:eastAsia="Times New Roman" w:hAnsiTheme="majorHAnsi" w:cs="Times New Roman"/>
          <w:sz w:val="20"/>
          <w:szCs w:val="20"/>
          <w:u w:val="single"/>
        </w:rPr>
        <w:t>Wśród usług, potwierdzonych dowodami, powinny się znaleźć us</w:t>
      </w:r>
      <w:r w:rsidR="001A565F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ługi na potwierdzenie warunku, </w:t>
      </w:r>
      <w:r w:rsidRPr="00FA4199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o którym mowa w </w:t>
      </w:r>
      <w:bookmarkStart w:id="0" w:name="_GoBack"/>
      <w:bookmarkEnd w:id="0"/>
      <w:r w:rsidRPr="008B469C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rozdziale </w:t>
      </w:r>
      <w:r w:rsidR="00790483" w:rsidRPr="008B469C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7 </w:t>
      </w:r>
      <w:proofErr w:type="spellStart"/>
      <w:r w:rsidR="00790483" w:rsidRPr="008B469C">
        <w:rPr>
          <w:rFonts w:asciiTheme="majorHAnsi" w:eastAsia="Times New Roman" w:hAnsiTheme="majorHAnsi" w:cs="Times New Roman"/>
          <w:sz w:val="20"/>
          <w:szCs w:val="20"/>
          <w:u w:val="single"/>
        </w:rPr>
        <w:t>ppkt</w:t>
      </w:r>
      <w:proofErr w:type="spellEnd"/>
      <w:r w:rsidR="00790483" w:rsidRPr="008B469C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</w:t>
      </w:r>
      <w:r w:rsidRPr="008B469C">
        <w:rPr>
          <w:rFonts w:asciiTheme="majorHAnsi" w:eastAsia="Times New Roman" w:hAnsiTheme="majorHAnsi" w:cs="Times New Roman"/>
          <w:sz w:val="20"/>
          <w:szCs w:val="20"/>
          <w:u w:val="single"/>
        </w:rPr>
        <w:t>7.1.2.</w:t>
      </w:r>
      <w:r w:rsidRPr="008B469C">
        <w:rPr>
          <w:rFonts w:asciiTheme="majorHAnsi" w:eastAsia="Times New Roman" w:hAnsiTheme="majorHAnsi" w:cs="Arial"/>
          <w:sz w:val="20"/>
          <w:szCs w:val="20"/>
          <w:u w:val="single"/>
        </w:rPr>
        <w:t xml:space="preserve"> SIWZ</w:t>
      </w:r>
    </w:p>
    <w:p w:rsidR="00DD2C3E" w:rsidRDefault="00DD2C3E" w:rsidP="00DD2C3E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433CFB" w:rsidRPr="00FA4199" w:rsidRDefault="00433CFB" w:rsidP="00DD2C3E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648"/>
        <w:gridCol w:w="1559"/>
        <w:gridCol w:w="1276"/>
        <w:gridCol w:w="1276"/>
        <w:gridCol w:w="1276"/>
        <w:gridCol w:w="1417"/>
      </w:tblGrid>
      <w:tr w:rsidR="00DD2C3E" w:rsidRPr="00FA4199" w:rsidTr="001B3092">
        <w:trPr>
          <w:trHeight w:val="405"/>
        </w:trPr>
        <w:tc>
          <w:tcPr>
            <w:tcW w:w="579" w:type="dxa"/>
            <w:vMerge w:val="restart"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2648" w:type="dxa"/>
            <w:vMerge w:val="restart"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Podmiot</w:t>
            </w:r>
          </w:p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Zamawiający</w:t>
            </w:r>
          </w:p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(odbiorca)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D2C3E" w:rsidRPr="00790483" w:rsidRDefault="00DD2C3E" w:rsidP="00DD2C3E">
            <w:pPr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  <w:p w:rsidR="00DD2C3E" w:rsidRPr="00790483" w:rsidRDefault="00DD2C3E" w:rsidP="00DD2C3E">
            <w:pPr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Wartość </w:t>
            </w:r>
            <w:r w:rsid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Data wykonania</w:t>
            </w:r>
          </w:p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Dostępność</w:t>
            </w:r>
          </w:p>
        </w:tc>
      </w:tr>
      <w:tr w:rsidR="00DD2C3E" w:rsidRPr="00FA4199" w:rsidTr="001B3092">
        <w:trPr>
          <w:trHeight w:val="405"/>
        </w:trPr>
        <w:tc>
          <w:tcPr>
            <w:tcW w:w="579" w:type="dxa"/>
            <w:vMerge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własna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udostępniona</w:t>
            </w:r>
          </w:p>
        </w:tc>
      </w:tr>
      <w:tr w:rsidR="00DD2C3E" w:rsidRPr="00FA4199" w:rsidTr="001B3092">
        <w:tc>
          <w:tcPr>
            <w:tcW w:w="579" w:type="dxa"/>
            <w:shd w:val="clear" w:color="auto" w:fill="D9D9D9" w:themeFill="background1" w:themeFillShade="D9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6</w:t>
            </w:r>
          </w:p>
        </w:tc>
      </w:tr>
      <w:tr w:rsidR="00DD2C3E" w:rsidRPr="00FA4199" w:rsidTr="001B3092">
        <w:trPr>
          <w:trHeight w:val="621"/>
        </w:trPr>
        <w:tc>
          <w:tcPr>
            <w:tcW w:w="579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2648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DD2C3E" w:rsidRPr="00FA4199" w:rsidTr="001B3092">
        <w:trPr>
          <w:trHeight w:val="559"/>
        </w:trPr>
        <w:tc>
          <w:tcPr>
            <w:tcW w:w="579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2648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1F0F44" w:rsidRPr="00FA4199" w:rsidTr="001B3092">
        <w:trPr>
          <w:trHeight w:val="559"/>
        </w:trPr>
        <w:tc>
          <w:tcPr>
            <w:tcW w:w="579" w:type="dxa"/>
          </w:tcPr>
          <w:p w:rsidR="001F0F44" w:rsidRPr="00790483" w:rsidRDefault="001F0F44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2648" w:type="dxa"/>
          </w:tcPr>
          <w:p w:rsidR="001F0F44" w:rsidRPr="00790483" w:rsidRDefault="001F0F44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F44" w:rsidRPr="00790483" w:rsidRDefault="001F0F44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F44" w:rsidRPr="00790483" w:rsidRDefault="001F0F44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F44" w:rsidRPr="00790483" w:rsidRDefault="001F0F44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F44" w:rsidRPr="00790483" w:rsidRDefault="001F0F44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F44" w:rsidRPr="00790483" w:rsidRDefault="001F0F44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</w:tbl>
    <w:p w:rsidR="00DD2C3E" w:rsidRPr="00FA4199" w:rsidRDefault="00DD2C3E" w:rsidP="001F0F44">
      <w:pPr>
        <w:spacing w:before="120" w:after="120" w:line="276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 xml:space="preserve">Uwaga: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W przypadku wypełnienia kolumny nr 6 należy doł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czy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 xml:space="preserve">ć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pisemne zobowi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zanie innych podmiotów do udost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ę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pnienia niezbędnych zasobów.</w:t>
      </w:r>
    </w:p>
    <w:p w:rsidR="00DD2C3E" w:rsidRPr="00FA4199" w:rsidRDefault="00DD2C3E" w:rsidP="00DD2C3E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b/>
          <w:sz w:val="18"/>
          <w:szCs w:val="18"/>
        </w:rPr>
        <w:t>Uwaga: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Należy załączyć dowody, określające, czy 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usługi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zostały wykonane 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 xml:space="preserve">lub są wykonywane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należycie. Dowodami tymi są referencje bądź inne dokumenty wystawione przez podmiot, na rzecz którego usługi zostały wykonane bądź są wykonywane w przypadku świadczeń okresowych lub ciągłych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, a jeżeli z uzasadnionej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przyczyn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y o obiektywnym charakterze W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ykonawca nie jest w stanie uzyskać tych dokumentów, oświadczenie Wykonawcy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,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zgodnie z w § 2 ust. 4 pkt 2 rozporządzenia Ministra Rozwoju z dnia </w:t>
      </w:r>
      <w:r w:rsidRPr="00FA4199">
        <w:rPr>
          <w:rFonts w:asciiTheme="majorHAnsi" w:eastAsia="Times New Roman" w:hAnsiTheme="majorHAnsi" w:cs="TimesNewRomanPSMT"/>
          <w:sz w:val="18"/>
          <w:szCs w:val="18"/>
        </w:rPr>
        <w:t>27 lipca 2016r.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w sprawie rodzajów dokumentów, jakich może żądać zamawiający od wykonawcy w postępowaniu o udzielenie zamówienia (Dz.U. z 2016r., poz. 1126). </w:t>
      </w:r>
    </w:p>
    <w:p w:rsidR="00DD2C3E" w:rsidRPr="00FA4199" w:rsidRDefault="00DD2C3E" w:rsidP="00DD2C3E">
      <w:pPr>
        <w:tabs>
          <w:tab w:val="left" w:pos="-567"/>
        </w:tabs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W  przypadku wykazania usług wykonywanych 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tj. świadczeń okresowych lub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ciągłych 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 xml:space="preserve">referencje bądź inne dokumenty potwierdzające ich należyte wykonywanie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powinny być wy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da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ne nie wcześniej niż na 3 m-ce przed upływem terminu składania ofert.</w:t>
      </w:r>
    </w:p>
    <w:p w:rsidR="00DD2C3E" w:rsidRPr="00FA4199" w:rsidRDefault="00DD2C3E" w:rsidP="00DD2C3E">
      <w:pPr>
        <w:tabs>
          <w:tab w:val="left" w:pos="-567"/>
        </w:tabs>
        <w:spacing w:before="120" w:after="120"/>
        <w:ind w:right="-426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FA4199" w:rsidRPr="00BF3991" w:rsidRDefault="00FA4199" w:rsidP="00FA4199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Miejscowość, data: …………………………………….</w:t>
      </w:r>
    </w:p>
    <w:p w:rsidR="00FA4199" w:rsidRPr="00BF3991" w:rsidRDefault="00FA4199" w:rsidP="00FA4199">
      <w:pPr>
        <w:spacing w:after="200" w:line="276" w:lineRule="auto"/>
        <w:ind w:firstLine="3828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..................................................................................................</w:t>
      </w:r>
    </w:p>
    <w:p w:rsidR="00FA4199" w:rsidRPr="00EF7137" w:rsidRDefault="00FA4199" w:rsidP="00FA4199">
      <w:pPr>
        <w:pStyle w:val="WW-Tekstpodstawowywcity2"/>
        <w:spacing w:line="240" w:lineRule="auto"/>
        <w:ind w:firstLine="4111"/>
        <w:rPr>
          <w:rFonts w:asciiTheme="majorHAnsi" w:hAnsiTheme="majorHAnsi"/>
          <w:b w:val="0"/>
          <w:sz w:val="18"/>
          <w:szCs w:val="18"/>
        </w:rPr>
      </w:pPr>
      <w:r w:rsidRPr="00EF7137">
        <w:rPr>
          <w:rFonts w:asciiTheme="majorHAnsi" w:hAnsiTheme="majorHAnsi"/>
          <w:b w:val="0"/>
          <w:sz w:val="18"/>
          <w:szCs w:val="18"/>
        </w:rPr>
        <w:t>(podpis i pieczęć imienna osoby/osób właściwej/</w:t>
      </w:r>
      <w:proofErr w:type="spellStart"/>
      <w:r w:rsidRPr="00EF7137">
        <w:rPr>
          <w:rFonts w:asciiTheme="majorHAnsi" w:hAnsiTheme="majorHAnsi"/>
          <w:b w:val="0"/>
          <w:sz w:val="18"/>
          <w:szCs w:val="18"/>
        </w:rPr>
        <w:t>ych</w:t>
      </w:r>
      <w:proofErr w:type="spellEnd"/>
      <w:r w:rsidRPr="00EF7137">
        <w:rPr>
          <w:rFonts w:asciiTheme="majorHAnsi" w:hAnsiTheme="majorHAnsi"/>
          <w:b w:val="0"/>
          <w:sz w:val="18"/>
          <w:szCs w:val="18"/>
        </w:rPr>
        <w:t xml:space="preserve"> </w:t>
      </w:r>
    </w:p>
    <w:p w:rsidR="00FA4199" w:rsidRPr="00EF7137" w:rsidRDefault="00FA4199" w:rsidP="00FA4199">
      <w:pPr>
        <w:pStyle w:val="WW-Tekstpodstawowywcity2"/>
        <w:spacing w:line="240" w:lineRule="auto"/>
        <w:ind w:firstLine="411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ab/>
      </w:r>
      <w:r>
        <w:rPr>
          <w:rFonts w:asciiTheme="majorHAnsi" w:hAnsiTheme="majorHAnsi"/>
          <w:b w:val="0"/>
          <w:sz w:val="18"/>
          <w:szCs w:val="18"/>
        </w:rPr>
        <w:tab/>
      </w:r>
      <w:r w:rsidRPr="00EF7137">
        <w:rPr>
          <w:rFonts w:asciiTheme="majorHAnsi" w:hAnsiTheme="majorHAnsi"/>
          <w:b w:val="0"/>
          <w:sz w:val="18"/>
          <w:szCs w:val="18"/>
        </w:rPr>
        <w:t>do reprezentowania Wykonawcy)</w:t>
      </w:r>
    </w:p>
    <w:p w:rsidR="004A4CFD" w:rsidRPr="00FA4199" w:rsidRDefault="004A4CFD" w:rsidP="004A4CFD">
      <w:pPr>
        <w:ind w:left="4956"/>
        <w:jc w:val="center"/>
        <w:rPr>
          <w:rFonts w:asciiTheme="majorHAnsi" w:eastAsia="Times New Roman" w:hAnsiTheme="majorHAnsi" w:cs="Arial"/>
          <w:sz w:val="16"/>
          <w:szCs w:val="16"/>
        </w:rPr>
      </w:pPr>
    </w:p>
    <w:p w:rsidR="004A4CFD" w:rsidRPr="00FA4199" w:rsidRDefault="004A4CFD" w:rsidP="004A4CFD">
      <w:pPr>
        <w:rPr>
          <w:rFonts w:asciiTheme="majorHAnsi" w:eastAsia="Times New Roman" w:hAnsiTheme="majorHAnsi" w:cs="Arial"/>
          <w:sz w:val="16"/>
          <w:szCs w:val="16"/>
        </w:rPr>
      </w:pPr>
    </w:p>
    <w:sectPr w:rsidR="004A4CFD" w:rsidRPr="00FA4199" w:rsidSect="000A3D33">
      <w:headerReference w:type="default" r:id="rId8"/>
      <w:footerReference w:type="default" r:id="rId9"/>
      <w:pgSz w:w="11900" w:h="16840"/>
      <w:pgMar w:top="180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91" w:rsidRDefault="00A72591" w:rsidP="00C24113">
      <w:r>
        <w:separator/>
      </w:r>
    </w:p>
  </w:endnote>
  <w:endnote w:type="continuationSeparator" w:id="0">
    <w:p w:rsidR="00A72591" w:rsidRDefault="00A72591" w:rsidP="00C2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2548"/>
      <w:gridCol w:w="2362"/>
      <w:gridCol w:w="2274"/>
      <w:gridCol w:w="2274"/>
    </w:tblGrid>
    <w:tr w:rsidR="00323EFD" w:rsidRPr="003578F6" w:rsidTr="0033067B">
      <w:tc>
        <w:tcPr>
          <w:tcW w:w="2602" w:type="dxa"/>
          <w:vAlign w:val="center"/>
        </w:tcPr>
        <w:p w:rsidR="00323EFD" w:rsidRPr="00323EFD" w:rsidRDefault="00323EFD" w:rsidP="0033067B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323EFD">
            <w:rPr>
              <w:rFonts w:asciiTheme="majorHAnsi" w:hAnsiTheme="majorHAnsi"/>
              <w:sz w:val="18"/>
              <w:szCs w:val="18"/>
            </w:rPr>
            <w:t>Pomorski Park Naukowo-Technologiczny Gdynia</w:t>
          </w:r>
        </w:p>
        <w:p w:rsidR="00323EFD" w:rsidRPr="00323EFD" w:rsidRDefault="00323EFD" w:rsidP="0033067B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323EFD">
            <w:rPr>
              <w:rFonts w:asciiTheme="majorHAnsi" w:hAnsiTheme="majorHAnsi"/>
              <w:sz w:val="18"/>
              <w:szCs w:val="18"/>
            </w:rPr>
            <w:t>al. Zwycięstwa 96/98</w:t>
          </w:r>
        </w:p>
        <w:p w:rsidR="00323EFD" w:rsidRPr="00323EFD" w:rsidRDefault="00323EFD" w:rsidP="0033067B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323EFD">
            <w:rPr>
              <w:rFonts w:asciiTheme="majorHAnsi" w:hAnsiTheme="majorHAnsi"/>
              <w:sz w:val="18"/>
              <w:szCs w:val="18"/>
            </w:rPr>
            <w:t xml:space="preserve">81-451 Gdynia </w:t>
          </w:r>
        </w:p>
      </w:tc>
      <w:tc>
        <w:tcPr>
          <w:tcW w:w="2415" w:type="dxa"/>
          <w:vAlign w:val="center"/>
        </w:tcPr>
        <w:p w:rsidR="00323EFD" w:rsidRPr="00323EFD" w:rsidRDefault="00323EFD" w:rsidP="0033067B">
          <w:pPr>
            <w:pStyle w:val="Stopka"/>
            <w:rPr>
              <w:rFonts w:asciiTheme="majorHAnsi" w:hAnsiTheme="majorHAnsi"/>
              <w:sz w:val="18"/>
              <w:szCs w:val="18"/>
              <w:lang w:val="en-US"/>
            </w:rPr>
          </w:pPr>
          <w:r w:rsidRPr="00323EFD">
            <w:rPr>
              <w:rFonts w:asciiTheme="majorHAnsi" w:hAnsiTheme="majorHAnsi"/>
              <w:sz w:val="18"/>
              <w:szCs w:val="18"/>
              <w:lang w:val="en-US"/>
            </w:rPr>
            <w:t>tel. +48 58 698 22 12</w:t>
          </w:r>
        </w:p>
        <w:p w:rsidR="00323EFD" w:rsidRPr="00323EFD" w:rsidRDefault="00323EFD" w:rsidP="0033067B">
          <w:pPr>
            <w:pStyle w:val="Stopka"/>
            <w:rPr>
              <w:rFonts w:asciiTheme="majorHAnsi" w:hAnsiTheme="majorHAnsi"/>
              <w:sz w:val="18"/>
              <w:szCs w:val="18"/>
              <w:lang w:val="en-US"/>
            </w:rPr>
          </w:pPr>
          <w:r w:rsidRPr="00323EFD">
            <w:rPr>
              <w:rFonts w:asciiTheme="majorHAnsi" w:hAnsiTheme="majorHAnsi"/>
              <w:sz w:val="18"/>
              <w:szCs w:val="18"/>
              <w:lang w:val="en-US"/>
            </w:rPr>
            <w:t>fax +48 58 698 21 65</w:t>
          </w:r>
        </w:p>
        <w:p w:rsidR="00323EFD" w:rsidRPr="00323EFD" w:rsidRDefault="00323EFD" w:rsidP="0033067B">
          <w:pPr>
            <w:pStyle w:val="Stopka"/>
            <w:rPr>
              <w:rFonts w:asciiTheme="majorHAnsi" w:hAnsiTheme="majorHAnsi"/>
              <w:sz w:val="18"/>
              <w:szCs w:val="18"/>
              <w:lang w:val="en-US"/>
            </w:rPr>
          </w:pPr>
          <w:r w:rsidRPr="00323EFD">
            <w:rPr>
              <w:rFonts w:asciiTheme="majorHAnsi" w:hAnsiTheme="majorHAnsi"/>
              <w:sz w:val="18"/>
              <w:szCs w:val="18"/>
              <w:lang w:val="en-US"/>
            </w:rPr>
            <w:t>www.ppnt.pl</w:t>
          </w:r>
        </w:p>
        <w:p w:rsidR="00323EFD" w:rsidRPr="00323EFD" w:rsidRDefault="00323EFD" w:rsidP="0033067B">
          <w:pPr>
            <w:pStyle w:val="Stopka"/>
            <w:jc w:val="right"/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2365" w:type="dxa"/>
          <w:vAlign w:val="center"/>
        </w:tcPr>
        <w:p w:rsidR="00323EFD" w:rsidRPr="00323EFD" w:rsidRDefault="00323EFD" w:rsidP="0033067B">
          <w:pPr>
            <w:pStyle w:val="Stopka"/>
            <w:jc w:val="right"/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2365" w:type="dxa"/>
          <w:vAlign w:val="center"/>
        </w:tcPr>
        <w:p w:rsidR="00323EFD" w:rsidRPr="00323EFD" w:rsidRDefault="00323EFD" w:rsidP="0033067B">
          <w:pPr>
            <w:pStyle w:val="Stopka"/>
            <w:rPr>
              <w:rFonts w:asciiTheme="majorHAnsi" w:hAnsiTheme="majorHAnsi"/>
              <w:sz w:val="18"/>
              <w:szCs w:val="18"/>
              <w:lang w:val="en-US"/>
            </w:rPr>
          </w:pPr>
          <w:r w:rsidRPr="00323EFD">
            <w:rPr>
              <w:rFonts w:asciiTheme="majorHAnsi" w:hAnsiTheme="majorHAnsi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-16510</wp:posOffset>
                </wp:positionV>
                <wp:extent cx="918210" cy="594360"/>
                <wp:effectExtent l="19050" t="0" r="0" b="0"/>
                <wp:wrapNone/>
                <wp:docPr id="3" name="Picture 1" descr="Description: work:065_PPNT:02 PROJEKT:DRUKI:PAPIER FIRMOWY:03 ELEMENTY:pp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work:065_PPNT:02 PROJEKT:DRUKI:PAPIER FIRMOWY:03 ELEMENTY:pp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1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23EFD" w:rsidRDefault="00323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91" w:rsidRDefault="00A72591" w:rsidP="00C24113">
      <w:r>
        <w:separator/>
      </w:r>
    </w:p>
  </w:footnote>
  <w:footnote w:type="continuationSeparator" w:id="0">
    <w:p w:rsidR="00A72591" w:rsidRDefault="00A72591" w:rsidP="00C2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FD" w:rsidRPr="00323EFD" w:rsidRDefault="00323EFD" w:rsidP="00323EFD">
    <w:pPr>
      <w:jc w:val="both"/>
      <w:rPr>
        <w:rFonts w:asciiTheme="majorHAnsi" w:hAnsiTheme="majorHAnsi" w:cs="Arial"/>
        <w:sz w:val="20"/>
        <w:szCs w:val="20"/>
      </w:rPr>
    </w:pPr>
    <w:r w:rsidRPr="00323EFD">
      <w:rPr>
        <w:rFonts w:asciiTheme="majorHAnsi" w:hAnsiTheme="majorHAnsi"/>
        <w:sz w:val="20"/>
        <w:szCs w:val="20"/>
      </w:rPr>
      <w:t xml:space="preserve">Przetarg nieograniczony w dwóch częściach, </w:t>
    </w:r>
    <w:r w:rsidRPr="00323EFD">
      <w:rPr>
        <w:rFonts w:asciiTheme="majorHAnsi" w:hAnsiTheme="majorHAnsi" w:cs="Helvetica"/>
        <w:bCs/>
        <w:sz w:val="20"/>
        <w:szCs w:val="20"/>
      </w:rPr>
      <w:t xml:space="preserve">o wartości </w:t>
    </w:r>
    <w:r w:rsidRPr="00323EFD">
      <w:rPr>
        <w:rFonts w:asciiTheme="majorHAnsi" w:hAnsiTheme="majorHAnsi"/>
        <w:sz w:val="20"/>
        <w:szCs w:val="20"/>
      </w:rPr>
      <w:t xml:space="preserve">poniżej 209 000 euro </w:t>
    </w:r>
    <w:r w:rsidRPr="00323EFD">
      <w:rPr>
        <w:rFonts w:asciiTheme="majorHAnsi" w:hAnsiTheme="majorHAnsi" w:cs="Arial"/>
        <w:sz w:val="20"/>
        <w:szCs w:val="20"/>
      </w:rPr>
      <w:t xml:space="preserve">na usługę </w:t>
    </w:r>
    <w:r w:rsidRPr="00323EFD">
      <w:rPr>
        <w:rFonts w:asciiTheme="majorHAnsi" w:hAnsiTheme="majorHAnsi"/>
        <w:sz w:val="20"/>
        <w:szCs w:val="20"/>
      </w:rPr>
      <w:t>obsługi technicznej wentylacji, klimatyzacji, ogrzewania i automatyki w obiektach PPNT Gdynia</w:t>
    </w:r>
  </w:p>
  <w:p w:rsidR="00323EFD" w:rsidRDefault="00323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FCC"/>
    <w:multiLevelType w:val="hybridMultilevel"/>
    <w:tmpl w:val="FDD2E6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313070"/>
    <w:multiLevelType w:val="hybridMultilevel"/>
    <w:tmpl w:val="6888CB32"/>
    <w:lvl w:ilvl="0" w:tplc="83E095A6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0D1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FF0896"/>
    <w:multiLevelType w:val="multilevel"/>
    <w:tmpl w:val="2EB66E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D70C14"/>
    <w:multiLevelType w:val="hybridMultilevel"/>
    <w:tmpl w:val="920EC6EA"/>
    <w:lvl w:ilvl="0" w:tplc="46F0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37405C"/>
    <w:multiLevelType w:val="hybridMultilevel"/>
    <w:tmpl w:val="EFCE6F06"/>
    <w:lvl w:ilvl="0" w:tplc="BE4C14B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63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047EAA"/>
    <w:multiLevelType w:val="hybridMultilevel"/>
    <w:tmpl w:val="FF24D054"/>
    <w:lvl w:ilvl="0" w:tplc="BE4C14BA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01024"/>
    <w:multiLevelType w:val="hybridMultilevel"/>
    <w:tmpl w:val="1CA40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C788D"/>
    <w:multiLevelType w:val="hybridMultilevel"/>
    <w:tmpl w:val="70EED3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D422157"/>
    <w:multiLevelType w:val="hybridMultilevel"/>
    <w:tmpl w:val="DAD0DDA6"/>
    <w:lvl w:ilvl="0" w:tplc="3E329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27985"/>
    <w:multiLevelType w:val="multilevel"/>
    <w:tmpl w:val="FF1EB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244A"/>
    <w:multiLevelType w:val="hybridMultilevel"/>
    <w:tmpl w:val="9C8ADB02"/>
    <w:lvl w:ilvl="0" w:tplc="1248D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6CFD"/>
    <w:multiLevelType w:val="hybridMultilevel"/>
    <w:tmpl w:val="EACE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113"/>
    <w:rsid w:val="00005231"/>
    <w:rsid w:val="0008515B"/>
    <w:rsid w:val="000A14C9"/>
    <w:rsid w:val="000A3D33"/>
    <w:rsid w:val="00100A9B"/>
    <w:rsid w:val="00123584"/>
    <w:rsid w:val="0014567F"/>
    <w:rsid w:val="00161B44"/>
    <w:rsid w:val="001703C5"/>
    <w:rsid w:val="00193631"/>
    <w:rsid w:val="001946BB"/>
    <w:rsid w:val="00196ADD"/>
    <w:rsid w:val="001A565F"/>
    <w:rsid w:val="001C0D11"/>
    <w:rsid w:val="001F0F44"/>
    <w:rsid w:val="00216724"/>
    <w:rsid w:val="002504BC"/>
    <w:rsid w:val="00253076"/>
    <w:rsid w:val="00256CA4"/>
    <w:rsid w:val="002600D7"/>
    <w:rsid w:val="002602DF"/>
    <w:rsid w:val="002C3502"/>
    <w:rsid w:val="002C3F91"/>
    <w:rsid w:val="002C432F"/>
    <w:rsid w:val="002E5010"/>
    <w:rsid w:val="00323EFD"/>
    <w:rsid w:val="00396D1E"/>
    <w:rsid w:val="003A3E41"/>
    <w:rsid w:val="003B5FE8"/>
    <w:rsid w:val="003E052C"/>
    <w:rsid w:val="003E0CC3"/>
    <w:rsid w:val="00433CFB"/>
    <w:rsid w:val="00473A68"/>
    <w:rsid w:val="004A4CFD"/>
    <w:rsid w:val="004C3BD3"/>
    <w:rsid w:val="004F2625"/>
    <w:rsid w:val="00505986"/>
    <w:rsid w:val="005226B0"/>
    <w:rsid w:val="005304B2"/>
    <w:rsid w:val="005A130A"/>
    <w:rsid w:val="005A2EE1"/>
    <w:rsid w:val="005B5A87"/>
    <w:rsid w:val="005D480F"/>
    <w:rsid w:val="006052F9"/>
    <w:rsid w:val="0068414B"/>
    <w:rsid w:val="00690B52"/>
    <w:rsid w:val="006C004B"/>
    <w:rsid w:val="006F12A6"/>
    <w:rsid w:val="00740BA7"/>
    <w:rsid w:val="00740EF9"/>
    <w:rsid w:val="00756046"/>
    <w:rsid w:val="00786336"/>
    <w:rsid w:val="007877A0"/>
    <w:rsid w:val="00790483"/>
    <w:rsid w:val="007E5B96"/>
    <w:rsid w:val="007E6A3E"/>
    <w:rsid w:val="007F6B97"/>
    <w:rsid w:val="00831F0F"/>
    <w:rsid w:val="00876D7E"/>
    <w:rsid w:val="0088511F"/>
    <w:rsid w:val="0089365C"/>
    <w:rsid w:val="008B3950"/>
    <w:rsid w:val="008B469C"/>
    <w:rsid w:val="008D035C"/>
    <w:rsid w:val="008D5D6B"/>
    <w:rsid w:val="008E135A"/>
    <w:rsid w:val="009045CE"/>
    <w:rsid w:val="00910CB0"/>
    <w:rsid w:val="00935A26"/>
    <w:rsid w:val="00944FAA"/>
    <w:rsid w:val="00966FF8"/>
    <w:rsid w:val="00980878"/>
    <w:rsid w:val="00986A5B"/>
    <w:rsid w:val="009A21A9"/>
    <w:rsid w:val="009C41DA"/>
    <w:rsid w:val="009C4A69"/>
    <w:rsid w:val="00A2366B"/>
    <w:rsid w:val="00A2679C"/>
    <w:rsid w:val="00A507D9"/>
    <w:rsid w:val="00A61598"/>
    <w:rsid w:val="00A72591"/>
    <w:rsid w:val="00B37463"/>
    <w:rsid w:val="00B453E1"/>
    <w:rsid w:val="00BA559E"/>
    <w:rsid w:val="00BB0B10"/>
    <w:rsid w:val="00BB5654"/>
    <w:rsid w:val="00BC4F37"/>
    <w:rsid w:val="00BD4F5E"/>
    <w:rsid w:val="00C24113"/>
    <w:rsid w:val="00C43B64"/>
    <w:rsid w:val="00C6692C"/>
    <w:rsid w:val="00D26466"/>
    <w:rsid w:val="00D445C1"/>
    <w:rsid w:val="00D44806"/>
    <w:rsid w:val="00DB2C38"/>
    <w:rsid w:val="00DB72A4"/>
    <w:rsid w:val="00DC0ABA"/>
    <w:rsid w:val="00DD2C3E"/>
    <w:rsid w:val="00DE1F0E"/>
    <w:rsid w:val="00DE61C2"/>
    <w:rsid w:val="00DF02BA"/>
    <w:rsid w:val="00E13334"/>
    <w:rsid w:val="00E323E3"/>
    <w:rsid w:val="00E520C4"/>
    <w:rsid w:val="00E733E7"/>
    <w:rsid w:val="00E80699"/>
    <w:rsid w:val="00EB5D29"/>
    <w:rsid w:val="00EE43D7"/>
    <w:rsid w:val="00EF13E3"/>
    <w:rsid w:val="00EF14C1"/>
    <w:rsid w:val="00F47367"/>
    <w:rsid w:val="00F606EA"/>
    <w:rsid w:val="00F830BC"/>
    <w:rsid w:val="00FA1DF9"/>
    <w:rsid w:val="00FA4199"/>
    <w:rsid w:val="00FC3288"/>
    <w:rsid w:val="00FC47B0"/>
    <w:rsid w:val="00FD3138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8AB2-A4B8-4DE0-AADD-8B3334C1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g.lukaszewicz</cp:lastModifiedBy>
  <cp:revision>21</cp:revision>
  <dcterms:created xsi:type="dcterms:W3CDTF">2016-11-30T09:40:00Z</dcterms:created>
  <dcterms:modified xsi:type="dcterms:W3CDTF">2017-01-16T14:13:00Z</dcterms:modified>
</cp:coreProperties>
</file>